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E9B37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b/>
          <w:bCs/>
          <w:color w:val="000000"/>
          <w:lang w:val="pt-BR"/>
        </w:rPr>
        <w:t>O Novo Plano Nacional de Educação: avanços reais ou repetição de promessas?</w:t>
      </w:r>
    </w:p>
    <w:p w14:paraId="0E058ADD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Roberto Lobo                 23 de abril de 2026</w:t>
      </w:r>
    </w:p>
    <w:p w14:paraId="05ACF9C2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Em 2024, escrevi dois artigos sobre o CONAE — documento base para o novo Plano Nacional de Educação (PNE) — como contribuição ao debate então em curso: </w:t>
      </w:r>
      <w:r w:rsidRPr="00131772">
        <w:rPr>
          <w:rFonts w:ascii="Arial" w:eastAsia="Times New Roman" w:hAnsi="Arial" w:cs="Arial"/>
          <w:i/>
          <w:iCs/>
          <w:color w:val="000000"/>
          <w:lang w:val="pt-BR"/>
        </w:rPr>
        <w:t>“Vamos Parar de Olhar o Próprio Umbigo”</w:t>
      </w:r>
      <w:r w:rsidRPr="00131772">
        <w:rPr>
          <w:rFonts w:ascii="Arial" w:eastAsia="Times New Roman" w:hAnsi="Arial" w:cs="Arial"/>
          <w:color w:val="000000"/>
          <w:lang w:val="pt-BR"/>
        </w:rPr>
        <w:t> (7/3/2024) e </w:t>
      </w:r>
      <w:r w:rsidRPr="00131772">
        <w:rPr>
          <w:rFonts w:ascii="Arial" w:eastAsia="Times New Roman" w:hAnsi="Arial" w:cs="Arial"/>
          <w:i/>
          <w:iCs/>
          <w:color w:val="000000"/>
          <w:lang w:val="pt-BR"/>
        </w:rPr>
        <w:t>“CONAE 2 – Algumas Reflexões Sobre as Propostas do CONAE para o Plano Nacional de Educação”</w:t>
      </w:r>
      <w:r w:rsidRPr="00131772">
        <w:rPr>
          <w:rFonts w:ascii="Arial" w:eastAsia="Times New Roman" w:hAnsi="Arial" w:cs="Arial"/>
          <w:color w:val="000000"/>
          <w:lang w:val="pt-BR"/>
        </w:rPr>
        <w:t> (19/3/2024).</w:t>
      </w:r>
    </w:p>
    <w:p w14:paraId="57F6472A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Retomo agora o tema, uma vez que o novo PNE foi aprovado pelo Congresso.</w:t>
      </w:r>
    </w:p>
    <w:p w14:paraId="1E14FF3C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O novo plano surge como resposta ao insucesso do anterior (2014–2024), no qual a grande maioria das metas não foi cumprida. Esse fracasso revela não apenas dificuldades operacionais, mas falhas estruturais na própria concepção da política educacional brasileira.</w:t>
      </w:r>
    </w:p>
    <w:p w14:paraId="269066A2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Há, contudo, um avanço importante: a mudança de foco da expansão do acesso para a qualidade da aprendizagem. O Brasil praticamente universalizou o ensino fundamental; o desafio agora é garantir que os alunos aprendam — o que claramente não vem ocorrendo na intensidade necessária. A ênfase na alfabetização na idade certa e no domínio de competências básicas, como leitura e matemática, é urgente, diante de resultados muito aquém do aceitável.</w:t>
      </w:r>
    </w:p>
    <w:p w14:paraId="0CBE136C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Também é meritória a preocupação com a redução das desigualdades educacionais e à maior homogeneidade do sistema.</w:t>
      </w:r>
    </w:p>
    <w:p w14:paraId="72FBBD0B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No entanto, o problema central permanece praticamente intocado com o risco de repetição do fracasso anterior.</w:t>
      </w:r>
    </w:p>
    <w:p w14:paraId="3E9052A5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O insucesso do PNE não decorreu da falta de diagnóstico ou de boas intenções. Decorreu da ausência de mecanismos efetivos de execução. Faltou governança: não havia definição clara de responsabilidades, nem instrumentos que vinculassem metas a decisões concretas de financiamento, gestão e avaliação. Em termos simples, ninguém era efetivamente responsável pelo cumprimento do plano.</w:t>
      </w:r>
    </w:p>
    <w:p w14:paraId="41BF6353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O novo PNE avança pouco nesse aspecto. Embora proponha melhorias no monitoramento e na articulação federativa, ainda carece de mecanismos capazes de transformar metas em resultados concretos.</w:t>
      </w:r>
    </w:p>
    <w:p w14:paraId="665249C2" w14:textId="47EA0E05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 xml:space="preserve">Se o país deseja que o novo plano seja mais do que uma carta de intenções, </w:t>
      </w:r>
      <w:r w:rsidR="0067439C">
        <w:rPr>
          <w:rFonts w:ascii="Arial" w:eastAsia="Times New Roman" w:hAnsi="Arial" w:cs="Arial"/>
          <w:color w:val="000000"/>
          <w:lang w:val="pt-BR"/>
        </w:rPr>
        <w:t xml:space="preserve">ao menos </w:t>
      </w:r>
      <w:r w:rsidRPr="00131772">
        <w:rPr>
          <w:rFonts w:ascii="Arial" w:eastAsia="Times New Roman" w:hAnsi="Arial" w:cs="Arial"/>
          <w:color w:val="000000"/>
          <w:lang w:val="pt-BR"/>
        </w:rPr>
        <w:t>três mudanças são essenciais:</w:t>
      </w:r>
    </w:p>
    <w:p w14:paraId="7DE472D0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b/>
          <w:bCs/>
          <w:color w:val="000000"/>
          <w:lang w:val="pt-BR"/>
        </w:rPr>
        <w:lastRenderedPageBreak/>
        <w:t>Primeiro:</w:t>
      </w:r>
      <w:r w:rsidRPr="00131772">
        <w:rPr>
          <w:rFonts w:ascii="Arial" w:eastAsia="Times New Roman" w:hAnsi="Arial" w:cs="Arial"/>
          <w:color w:val="000000"/>
          <w:lang w:val="pt-BR"/>
        </w:rPr>
        <w:t> definir com clareza as responsabilidades da União, dos estados e dos municípios, com atribuições explícitas, metas vinculadas e acompanhamento sistemático. Sem responsabilização, não há política pública efetiva.</w:t>
      </w:r>
    </w:p>
    <w:p w14:paraId="40157F83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b/>
          <w:bCs/>
          <w:color w:val="000000"/>
          <w:lang w:val="pt-BR"/>
        </w:rPr>
        <w:t>Segundo:</w:t>
      </w:r>
      <w:r w:rsidRPr="00131772">
        <w:rPr>
          <w:rFonts w:ascii="Arial" w:eastAsia="Times New Roman" w:hAnsi="Arial" w:cs="Arial"/>
          <w:color w:val="000000"/>
          <w:lang w:val="pt-BR"/>
        </w:rPr>
        <w:t> a avaliação precisa deixar de ser apenas diagnóstica e passar a ter consequências. Resultados educacionais devem orientar decisões de gestão, alocação de recursos, progressão institucional e apoio técnico. Avaliar sem consequências é apenas medir o fracasso.</w:t>
      </w:r>
    </w:p>
    <w:p w14:paraId="13C99870" w14:textId="177D5799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b/>
          <w:bCs/>
          <w:color w:val="000000"/>
          <w:lang w:val="pt-BR"/>
        </w:rPr>
        <w:t>Terceiro:</w:t>
      </w:r>
      <w:r w:rsidRPr="00131772">
        <w:rPr>
          <w:rFonts w:ascii="Arial" w:eastAsia="Times New Roman" w:hAnsi="Arial" w:cs="Arial"/>
          <w:color w:val="000000"/>
          <w:lang w:val="pt-BR"/>
        </w:rPr>
        <w:t> o plano deve incorporar mecanismos de governança que o protejam da descontinuidade política. Um PNE não pode depender somente do governo do momento</w:t>
      </w:r>
      <w:r w:rsidR="001F0A3A">
        <w:rPr>
          <w:rFonts w:ascii="Arial" w:eastAsia="Times New Roman" w:hAnsi="Arial" w:cs="Arial"/>
          <w:color w:val="000000"/>
          <w:lang w:val="pt-BR"/>
        </w:rPr>
        <w:t xml:space="preserve"> </w:t>
      </w:r>
      <w:r w:rsidR="0067439C">
        <w:rPr>
          <w:rFonts w:ascii="Arial" w:eastAsia="Times New Roman" w:hAnsi="Arial" w:cs="Arial"/>
          <w:color w:val="000000"/>
          <w:lang w:val="pt-BR"/>
        </w:rPr>
        <w:t>-</w:t>
      </w:r>
      <w:r w:rsidRPr="00131772">
        <w:rPr>
          <w:rFonts w:ascii="Arial" w:eastAsia="Times New Roman" w:hAnsi="Arial" w:cs="Arial"/>
          <w:color w:val="000000"/>
          <w:lang w:val="pt-BR"/>
        </w:rPr>
        <w:t xml:space="preserve"> deve funcionar como política de Estado, com estabilidade institucional e compromissos duradouros.</w:t>
      </w:r>
    </w:p>
    <w:p w14:paraId="37E9BDFB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O ponto decisivo é simples: o plano precisa ter amarras de forma a ser executável. Caso contrário, continuará sendo um documento que agrada a diferentes grupos, mas não transforma a realidade.</w:t>
      </w:r>
    </w:p>
    <w:p w14:paraId="1D2A0FFE" w14:textId="07F6365B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Um PNE consistente deve conter três elementos clássicos do planejamento estratégico: metas claras</w:t>
      </w:r>
      <w:r w:rsidR="001F0A3A">
        <w:rPr>
          <w:rFonts w:ascii="Arial" w:eastAsia="Times New Roman" w:hAnsi="Arial" w:cs="Arial"/>
          <w:color w:val="000000"/>
          <w:lang w:val="pt-BR"/>
        </w:rPr>
        <w:t xml:space="preserve"> e </w:t>
      </w:r>
      <w:proofErr w:type="spellStart"/>
      <w:r w:rsidR="001F0A3A">
        <w:rPr>
          <w:rFonts w:ascii="Arial" w:eastAsia="Times New Roman" w:hAnsi="Arial" w:cs="Arial"/>
          <w:color w:val="000000"/>
          <w:lang w:val="pt-BR"/>
        </w:rPr>
        <w:t>mensuraveis</w:t>
      </w:r>
      <w:proofErr w:type="spellEnd"/>
      <w:r w:rsidRPr="00131772">
        <w:rPr>
          <w:rFonts w:ascii="Arial" w:eastAsia="Times New Roman" w:hAnsi="Arial" w:cs="Arial"/>
          <w:color w:val="000000"/>
          <w:lang w:val="pt-BR"/>
        </w:rPr>
        <w:t>, estratégias para alcançá-las e planos tático-operacionais que orientem sua execução.</w:t>
      </w:r>
    </w:p>
    <w:p w14:paraId="71B43386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Além disso, deve considerar explicitamente seus insumos (recursos humanos, infraestrutura, financiamento, gestão), seus processos (organização e dinâmica do sistema educacional) e seus resultados mensuráveis, que precisam ser periodicamente comparados às metas estabelecidas.</w:t>
      </w:r>
    </w:p>
    <w:p w14:paraId="29299AFC" w14:textId="267BAB5A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Um plano nacional que não articule metas com financiamento, avaliação e governança tende a reproduzir, infelizmente, o padrão brasileiro: ambição elevada e baixa execução.</w:t>
      </w:r>
    </w:p>
    <w:p w14:paraId="3C2B8067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Como ilustração, sugiro algumas metas que poderiam ajudar a reorientar algumas ações do nosso país:</w:t>
      </w:r>
    </w:p>
    <w:p w14:paraId="6BE9B480" w14:textId="77777777" w:rsidR="00131772" w:rsidRPr="00131772" w:rsidRDefault="00131772" w:rsidP="008E3ED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Reduzir o analfabetismo funcional na população de 11 a 29 anos de cerca de 16% (2024) para 10% até 2036. </w:t>
      </w:r>
    </w:p>
    <w:p w14:paraId="7FBE7E78" w14:textId="77777777" w:rsidR="00131772" w:rsidRPr="00131772" w:rsidRDefault="00131772" w:rsidP="008E3ED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Elevar para 3% a proporção de estudantes brasileiros nos níveis mais altos do PISA (níveis 5 e 6), hoje em torno de 1%. </w:t>
      </w:r>
    </w:p>
    <w:p w14:paraId="4A06B80E" w14:textId="77777777" w:rsidR="00131772" w:rsidRPr="00131772" w:rsidRDefault="00131772" w:rsidP="008E3ED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Reduzir para menos de 10% a diferença entre o desempenho médio do Brasil e a média da OCDE nas três áreas do PISA. </w:t>
      </w:r>
    </w:p>
    <w:p w14:paraId="7ECFD1AA" w14:textId="77777777" w:rsidR="00131772" w:rsidRPr="00131772" w:rsidRDefault="00131772" w:rsidP="008E3ED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Colocar ao menos três universidades brasileiras entre as 100 melhores do mundo em rankings internacionais. </w:t>
      </w:r>
    </w:p>
    <w:p w14:paraId="05AB6C22" w14:textId="77777777" w:rsidR="00131772" w:rsidRPr="00131772" w:rsidRDefault="00131772" w:rsidP="008E3ED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lastRenderedPageBreak/>
        <w:t>Reduzir a evasão acumulada nos cursos de graduação das instituições públicas para 20% e assegurar que ao menos 60% dos concluintes demonstrem suficiência profissional em avaliações nacionais. </w:t>
      </w:r>
    </w:p>
    <w:p w14:paraId="1C60141E" w14:textId="6085CD4B" w:rsidR="00131772" w:rsidRPr="00131772" w:rsidRDefault="00131772" w:rsidP="008E3ED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 xml:space="preserve">Elevar a participação da educação profissional técnica de nível médio para pelo menos 25% das matrículas </w:t>
      </w:r>
      <w:r w:rsidR="00F02382">
        <w:rPr>
          <w:rFonts w:ascii="Arial" w:eastAsia="Times New Roman" w:hAnsi="Arial" w:cs="Arial"/>
          <w:color w:val="000000"/>
          <w:lang w:val="pt-BR"/>
        </w:rPr>
        <w:t>desse nível de ensino</w:t>
      </w:r>
      <w:r w:rsidRPr="00131772">
        <w:rPr>
          <w:rFonts w:ascii="Arial" w:eastAsia="Times New Roman" w:hAnsi="Arial" w:cs="Arial"/>
          <w:color w:val="000000"/>
          <w:lang w:val="pt-BR"/>
        </w:rPr>
        <w:t>, com qualidade comprovada por avaliação nacional. </w:t>
      </w:r>
    </w:p>
    <w:p w14:paraId="2CF08C7B" w14:textId="77777777" w:rsidR="00131772" w:rsidRPr="00131772" w:rsidRDefault="00131772" w:rsidP="008E3ED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Medida mais radical: vincular a certificação nos diferentes níveis de ensino à demonstração de proficiência em avaliações nacionais conduzidas pelo INEP.</w:t>
      </w:r>
    </w:p>
    <w:p w14:paraId="234A0C66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Para que o novo PNE supere o anterior será necessário depender menos da formulação das metas e mais da disposição de enfrentar problemas historicamente evitados: a transformação de intenções em compromissos reais, com responsabilidade, monitoramento e consequências.</w:t>
      </w:r>
    </w:p>
    <w:p w14:paraId="6ACA63FE" w14:textId="77777777" w:rsidR="00131772" w:rsidRPr="00131772" w:rsidRDefault="00131772" w:rsidP="008E3ED4">
      <w:pPr>
        <w:spacing w:before="100" w:beforeAutospacing="1" w:after="100" w:afterAutospacing="1" w:line="276" w:lineRule="auto"/>
        <w:jc w:val="both"/>
        <w:rPr>
          <w:rFonts w:ascii="Helvetica" w:eastAsia="Times New Roman" w:hAnsi="Helvetica" w:cs="Times New Roman"/>
          <w:color w:val="000000"/>
        </w:rPr>
      </w:pPr>
      <w:r w:rsidRPr="00131772">
        <w:rPr>
          <w:rFonts w:ascii="Arial" w:eastAsia="Times New Roman" w:hAnsi="Arial" w:cs="Arial"/>
          <w:color w:val="000000"/>
          <w:lang w:val="pt-BR"/>
        </w:rPr>
        <w:t>Sem isso, o país chegará à próxima década com diagnósticos ainda mais precisos — e resultados igualmente insatisfatórios.</w:t>
      </w:r>
    </w:p>
    <w:p w14:paraId="716AF74A" w14:textId="77777777" w:rsidR="00131772" w:rsidRPr="00131772" w:rsidRDefault="00131772" w:rsidP="00131772">
      <w:pPr>
        <w:spacing w:before="100" w:beforeAutospacing="1" w:after="100" w:afterAutospacing="1" w:line="207" w:lineRule="atLeast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31772">
        <w:rPr>
          <w:rFonts w:ascii="Arial" w:eastAsia="Times New Roman" w:hAnsi="Arial" w:cs="Arial"/>
          <w:color w:val="000000"/>
          <w:sz w:val="18"/>
          <w:szCs w:val="18"/>
          <w:lang w:val="pt-BR"/>
        </w:rPr>
        <w:t> </w:t>
      </w:r>
    </w:p>
    <w:p w14:paraId="3591BF88" w14:textId="77777777" w:rsidR="00131772" w:rsidRDefault="00131772"/>
    <w:sectPr w:rsidR="00131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97116"/>
    <w:multiLevelType w:val="multilevel"/>
    <w:tmpl w:val="6F90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72"/>
    <w:rsid w:val="00131772"/>
    <w:rsid w:val="001F0A3A"/>
    <w:rsid w:val="003A3590"/>
    <w:rsid w:val="0067439C"/>
    <w:rsid w:val="008E3ED4"/>
    <w:rsid w:val="00F02382"/>
    <w:rsid w:val="00F9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56948"/>
  <w15:chartTrackingRefBased/>
  <w15:docId w15:val="{52DD0DB7-43AC-C341-BFDB-BB8708DC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1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Leal Lobo e Silva Filho</dc:creator>
  <cp:keywords/>
  <dc:description/>
  <cp:lastModifiedBy>Roberto Leal Lobo e Silva Filho</cp:lastModifiedBy>
  <cp:revision>2</cp:revision>
  <dcterms:created xsi:type="dcterms:W3CDTF">2026-07-10T18:19:00Z</dcterms:created>
  <dcterms:modified xsi:type="dcterms:W3CDTF">2026-07-10T18:19:00Z</dcterms:modified>
</cp:coreProperties>
</file>